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Learning Objectives for Entrepreneurial Engineering Design Studio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before="240" w:line="216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Integrate information from a variety of sources to generate, screen, and select promising design opportunities that will create value for potential customers.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before="240" w:line="216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Assess and manage risk in design choices to organize, plan, and manage a long term engineering project within a team environment.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before="240" w:line="216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Explore prior and accepted solutions to identify and communicate the value of a unique design solution in terms of economic, personal, and societal value.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before="240" w:line="216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Describe the perspective of others in order to translate insight gained from customer feedback into design specifications at multiple stages in the design process.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before="240" w:line="216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Utilize and persist through a systematic design process in order to bring a unique design solution to fruition.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before="240" w:line="216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Identify and utilize technical tools and skills needed to test concepts quickly via customer engagement and develop a viable design solution.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before="240" w:line="216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Assess and manage cost, value, and market implications at all stages of development.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before="240" w:line="216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Communicate design status and results to all stakeholders in verbal, written, and public presentation formats at appropriate points in the development timeline.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