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E6190" w14:textId="77777777" w:rsidR="00320B72" w:rsidRDefault="008E7CFB">
      <w:pPr>
        <w:pStyle w:val="Heading2"/>
        <w:pBdr>
          <w:top w:val="nil"/>
          <w:left w:val="nil"/>
          <w:bottom w:val="nil"/>
          <w:right w:val="nil"/>
          <w:between w:val="nil"/>
        </w:pBdr>
        <w:rPr>
          <w:color w:val="0B5394"/>
        </w:rPr>
      </w:pPr>
      <w:r>
        <w:t>Framing your Research Question with Entrepreneurial Mindset: Instructor Guide</w:t>
      </w:r>
    </w:p>
    <w:p w14:paraId="503E6191" w14:textId="77777777" w:rsidR="00320B72" w:rsidRDefault="00320B72"/>
    <w:p w14:paraId="503E6192" w14:textId="77777777" w:rsidR="00320B72" w:rsidRDefault="008E7CFB">
      <w:pPr>
        <w:pStyle w:val="Heading3"/>
      </w:pPr>
      <w:r>
        <w:t>Workshop learning objectives</w:t>
      </w:r>
    </w:p>
    <w:p w14:paraId="503E6193" w14:textId="77777777" w:rsidR="00320B72" w:rsidRDefault="008E7CFB">
      <w:r>
        <w:t>After completing this workshop, students should be able to…</w:t>
      </w:r>
    </w:p>
    <w:p w14:paraId="503E6194" w14:textId="77777777" w:rsidR="00320B72" w:rsidRDefault="008E7CFB">
      <w:pPr>
        <w:numPr>
          <w:ilvl w:val="0"/>
          <w:numId w:val="1"/>
        </w:numPr>
        <w:pBdr>
          <w:top w:val="nil"/>
          <w:left w:val="nil"/>
          <w:bottom w:val="nil"/>
          <w:right w:val="nil"/>
          <w:between w:val="nil"/>
        </w:pBdr>
        <w:spacing w:after="0"/>
      </w:pPr>
      <w:r>
        <w:rPr>
          <w:color w:val="000000"/>
        </w:rPr>
        <w:t>Describe at a high level how the framework of Entrepreneurial Mindset can be applied to research, emphasizing the connections between research opportunities, research plan, and research impact.</w:t>
      </w:r>
    </w:p>
    <w:p w14:paraId="503E6195" w14:textId="77777777" w:rsidR="00320B72" w:rsidRDefault="008E7CFB">
      <w:pPr>
        <w:numPr>
          <w:ilvl w:val="0"/>
          <w:numId w:val="1"/>
        </w:numPr>
        <w:pBdr>
          <w:top w:val="nil"/>
          <w:left w:val="nil"/>
          <w:bottom w:val="nil"/>
          <w:right w:val="nil"/>
          <w:between w:val="nil"/>
        </w:pBdr>
        <w:spacing w:after="0"/>
      </w:pPr>
      <w:r>
        <w:rPr>
          <w:color w:val="000000"/>
        </w:rPr>
        <w:t xml:space="preserve">Use the technique of connecting broad </w:t>
      </w:r>
      <w:r>
        <w:t>statements</w:t>
      </w:r>
      <w:r>
        <w:rPr>
          <w:color w:val="000000"/>
        </w:rPr>
        <w:t xml:space="preserve"> to specific </w:t>
      </w:r>
      <w:r>
        <w:t>claims</w:t>
      </w:r>
      <w:r>
        <w:rPr>
          <w:color w:val="000000"/>
        </w:rPr>
        <w:t xml:space="preserve"> to help formulate a research question.</w:t>
      </w:r>
    </w:p>
    <w:p w14:paraId="503E6196" w14:textId="77777777" w:rsidR="00320B72" w:rsidRDefault="008E7CFB">
      <w:pPr>
        <w:numPr>
          <w:ilvl w:val="0"/>
          <w:numId w:val="1"/>
        </w:numPr>
        <w:pBdr>
          <w:top w:val="nil"/>
          <w:left w:val="nil"/>
          <w:bottom w:val="nil"/>
          <w:right w:val="nil"/>
          <w:between w:val="nil"/>
        </w:pBdr>
        <w:spacing w:after="0"/>
      </w:pPr>
      <w:r>
        <w:rPr>
          <w:color w:val="000000"/>
        </w:rPr>
        <w:t xml:space="preserve">Use </w:t>
      </w:r>
      <w:r>
        <w:t>concept</w:t>
      </w:r>
      <w:r>
        <w:rPr>
          <w:color w:val="000000"/>
        </w:rPr>
        <w:t xml:space="preserve"> mapping to help identify open questions in their research project and collect information needed to understand their research opportunity.</w:t>
      </w:r>
    </w:p>
    <w:p w14:paraId="503E6197" w14:textId="77777777" w:rsidR="00320B72" w:rsidRDefault="008E7CFB">
      <w:pPr>
        <w:numPr>
          <w:ilvl w:val="0"/>
          <w:numId w:val="1"/>
        </w:numPr>
        <w:pBdr>
          <w:top w:val="nil"/>
          <w:left w:val="nil"/>
          <w:bottom w:val="nil"/>
          <w:right w:val="nil"/>
          <w:between w:val="nil"/>
        </w:pBdr>
      </w:pPr>
      <w:r>
        <w:rPr>
          <w:color w:val="000000"/>
        </w:rPr>
        <w:t>Identify key stakeholders for their research project and describe the interests of those stakeholders.</w:t>
      </w:r>
    </w:p>
    <w:p w14:paraId="503E6198" w14:textId="77777777" w:rsidR="00320B72" w:rsidRDefault="00320B72">
      <w:pPr>
        <w:pStyle w:val="Heading3"/>
      </w:pPr>
    </w:p>
    <w:p w14:paraId="503E6199" w14:textId="77777777" w:rsidR="00320B72" w:rsidRDefault="008E7CFB">
      <w:pPr>
        <w:pStyle w:val="Heading3"/>
      </w:pPr>
      <w:r>
        <w:t>Preparing for the workshop [approximately 2 hours prep time]</w:t>
      </w:r>
    </w:p>
    <w:p w14:paraId="503E619A" w14:textId="77777777" w:rsidR="00320B72" w:rsidRDefault="008E7CFB">
      <w:pPr>
        <w:numPr>
          <w:ilvl w:val="0"/>
          <w:numId w:val="2"/>
        </w:numPr>
        <w:pBdr>
          <w:top w:val="nil"/>
          <w:left w:val="nil"/>
          <w:bottom w:val="nil"/>
          <w:right w:val="nil"/>
          <w:between w:val="nil"/>
        </w:pBdr>
        <w:spacing w:after="0"/>
      </w:pPr>
      <w:r>
        <w:rPr>
          <w:color w:val="000000"/>
        </w:rPr>
        <w:t>Reserve a space for the workshop and advertise to students. The workshop as outlined below can be completed in 1 hour but can be adjusted by facilitators as needed.</w:t>
      </w:r>
    </w:p>
    <w:p w14:paraId="503E619B" w14:textId="77777777" w:rsidR="00320B72" w:rsidRDefault="008E7CFB">
      <w:pPr>
        <w:numPr>
          <w:ilvl w:val="1"/>
          <w:numId w:val="2"/>
        </w:numPr>
        <w:pBdr>
          <w:top w:val="nil"/>
          <w:left w:val="nil"/>
          <w:bottom w:val="nil"/>
          <w:right w:val="nil"/>
          <w:between w:val="nil"/>
        </w:pBdr>
        <w:spacing w:after="0"/>
      </w:pPr>
      <w:r>
        <w:rPr>
          <w:color w:val="000000"/>
        </w:rPr>
        <w:t xml:space="preserve">Students do not need to complete any pre-work for this workshop </w:t>
      </w:r>
    </w:p>
    <w:p w14:paraId="503E619C" w14:textId="77777777" w:rsidR="00320B72" w:rsidRDefault="008E7CFB">
      <w:pPr>
        <w:numPr>
          <w:ilvl w:val="1"/>
          <w:numId w:val="2"/>
        </w:numPr>
        <w:pBdr>
          <w:top w:val="nil"/>
          <w:left w:val="nil"/>
          <w:bottom w:val="nil"/>
          <w:right w:val="nil"/>
          <w:between w:val="nil"/>
        </w:pBdr>
        <w:spacing w:after="0"/>
      </w:pPr>
      <w:r>
        <w:rPr>
          <w:color w:val="000000"/>
        </w:rPr>
        <w:t xml:space="preserve">Students should bring their laptop, </w:t>
      </w:r>
      <w:r>
        <w:rPr>
          <w:b/>
          <w:color w:val="000000"/>
        </w:rPr>
        <w:t>OR</w:t>
      </w:r>
      <w:r>
        <w:rPr>
          <w:color w:val="000000"/>
        </w:rPr>
        <w:t xml:space="preserve"> the facilitator should print </w:t>
      </w:r>
      <w:r>
        <w:t>paper</w:t>
      </w:r>
      <w:r>
        <w:rPr>
          <w:color w:val="000000"/>
        </w:rPr>
        <w:t xml:space="preserve"> copies of the student slide deck and resources document.</w:t>
      </w:r>
    </w:p>
    <w:p w14:paraId="503E619D" w14:textId="77777777" w:rsidR="00320B72" w:rsidRDefault="008E7CFB">
      <w:pPr>
        <w:numPr>
          <w:ilvl w:val="0"/>
          <w:numId w:val="2"/>
        </w:numPr>
        <w:pBdr>
          <w:top w:val="nil"/>
          <w:left w:val="nil"/>
          <w:bottom w:val="nil"/>
          <w:right w:val="nil"/>
          <w:between w:val="nil"/>
        </w:pBdr>
        <w:spacing w:after="0"/>
      </w:pPr>
      <w:r>
        <w:rPr>
          <w:color w:val="000000"/>
        </w:rPr>
        <w:t>Designate a workshop facilitator. The facilitator will use this instructor guide, supplemental materials, and the provided slide deck to guide students through the workshop activities and encourage discussion.</w:t>
      </w:r>
    </w:p>
    <w:p w14:paraId="503E619E" w14:textId="77777777" w:rsidR="00320B72" w:rsidRDefault="008E7CFB">
      <w:pPr>
        <w:numPr>
          <w:ilvl w:val="0"/>
          <w:numId w:val="2"/>
        </w:numPr>
        <w:pBdr>
          <w:top w:val="nil"/>
          <w:left w:val="nil"/>
          <w:bottom w:val="nil"/>
          <w:right w:val="nil"/>
          <w:between w:val="nil"/>
        </w:pBdr>
        <w:spacing w:after="0"/>
      </w:pPr>
      <w:r>
        <w:rPr>
          <w:color w:val="000000"/>
        </w:rPr>
        <w:t xml:space="preserve">The facilitator should review the following documents in advance of the workshop </w:t>
      </w:r>
    </w:p>
    <w:p w14:paraId="503E619F" w14:textId="77777777" w:rsidR="00320B72" w:rsidRDefault="008E7CFB">
      <w:pPr>
        <w:numPr>
          <w:ilvl w:val="1"/>
          <w:numId w:val="2"/>
        </w:numPr>
        <w:pBdr>
          <w:top w:val="nil"/>
          <w:left w:val="nil"/>
          <w:bottom w:val="nil"/>
          <w:right w:val="nil"/>
          <w:between w:val="nil"/>
        </w:pBdr>
        <w:spacing w:after="0"/>
      </w:pPr>
      <w:r>
        <w:rPr>
          <w:color w:val="000000"/>
        </w:rPr>
        <w:t>The KEEN Framework: A Guide for Entrepreneurial Mindset (if the facilitator is not already familiar with this framework)</w:t>
      </w:r>
    </w:p>
    <w:p w14:paraId="503E61A0" w14:textId="77777777" w:rsidR="00320B72" w:rsidRDefault="008E7CFB">
      <w:pPr>
        <w:numPr>
          <w:ilvl w:val="1"/>
          <w:numId w:val="2"/>
        </w:numPr>
        <w:pBdr>
          <w:top w:val="nil"/>
          <w:left w:val="nil"/>
          <w:bottom w:val="nil"/>
          <w:right w:val="nil"/>
          <w:between w:val="nil"/>
        </w:pBdr>
        <w:spacing w:after="0"/>
      </w:pPr>
      <w:r>
        <w:rPr>
          <w:color w:val="000000"/>
        </w:rPr>
        <w:t>Instructor Slides, including r</w:t>
      </w:r>
      <w:r>
        <w:t xml:space="preserve">eading the </w:t>
      </w:r>
      <w:r>
        <w:rPr>
          <w:color w:val="000000"/>
        </w:rPr>
        <w:t>notes section and watching the video</w:t>
      </w:r>
    </w:p>
    <w:p w14:paraId="503E61A1" w14:textId="77777777" w:rsidR="00320B72" w:rsidRDefault="008E7CFB">
      <w:pPr>
        <w:numPr>
          <w:ilvl w:val="1"/>
          <w:numId w:val="2"/>
        </w:numPr>
        <w:pBdr>
          <w:top w:val="nil"/>
          <w:left w:val="nil"/>
          <w:bottom w:val="nil"/>
          <w:right w:val="nil"/>
          <w:between w:val="nil"/>
        </w:pBdr>
        <w:spacing w:after="0"/>
      </w:pPr>
      <w:r>
        <w:rPr>
          <w:color w:val="000000"/>
        </w:rPr>
        <w:t>Optional additional reading</w:t>
      </w:r>
    </w:p>
    <w:p w14:paraId="503E61A2" w14:textId="77777777" w:rsidR="00320B72" w:rsidRDefault="008E7CFB">
      <w:pPr>
        <w:numPr>
          <w:ilvl w:val="2"/>
          <w:numId w:val="2"/>
        </w:numPr>
        <w:pBdr>
          <w:top w:val="nil"/>
          <w:left w:val="nil"/>
          <w:bottom w:val="nil"/>
          <w:right w:val="nil"/>
          <w:between w:val="nil"/>
        </w:pBdr>
        <w:spacing w:after="0" w:line="240" w:lineRule="auto"/>
      </w:pPr>
      <w:r>
        <w:rPr>
          <w:i/>
          <w:color w:val="000000"/>
        </w:rPr>
        <w:t>The Craft of Research</w:t>
      </w:r>
      <w:r>
        <w:rPr>
          <w:color w:val="000000"/>
        </w:rPr>
        <w:t>, 4</w:t>
      </w:r>
      <w:r>
        <w:rPr>
          <w:color w:val="000000"/>
          <w:vertAlign w:val="superscript"/>
        </w:rPr>
        <w:t>th</w:t>
      </w:r>
      <w:r>
        <w:rPr>
          <w:color w:val="000000"/>
        </w:rPr>
        <w:t xml:space="preserve"> edition, Chapters 3 and 4 (From Topics to Questions, From Questions to a Problem)</w:t>
      </w:r>
    </w:p>
    <w:p w14:paraId="503E61A3" w14:textId="77777777" w:rsidR="00320B72" w:rsidRDefault="008E7CFB">
      <w:pPr>
        <w:numPr>
          <w:ilvl w:val="2"/>
          <w:numId w:val="2"/>
        </w:numPr>
        <w:pBdr>
          <w:top w:val="nil"/>
          <w:left w:val="nil"/>
          <w:bottom w:val="nil"/>
          <w:right w:val="nil"/>
          <w:between w:val="nil"/>
        </w:pBdr>
        <w:spacing w:after="0" w:line="240" w:lineRule="auto"/>
      </w:pPr>
      <w:r>
        <w:rPr>
          <w:color w:val="000000"/>
        </w:rPr>
        <w:t xml:space="preserve">What is transdisciplinary research? (Utrecht University) </w:t>
      </w:r>
      <w:hyperlink r:id="rId8">
        <w:r>
          <w:rPr>
            <w:color w:val="0563C1"/>
            <w:u w:val="single"/>
          </w:rPr>
          <w:t>https://www.uu.nl/en/research/transdisciplinary-field-guide/get-started/what-is-transdisciplinary-research</w:t>
        </w:r>
      </w:hyperlink>
    </w:p>
    <w:p w14:paraId="503E61A4" w14:textId="77777777" w:rsidR="00320B72" w:rsidRDefault="008E7CFB">
      <w:pPr>
        <w:numPr>
          <w:ilvl w:val="2"/>
          <w:numId w:val="2"/>
        </w:numPr>
        <w:pBdr>
          <w:top w:val="nil"/>
          <w:left w:val="nil"/>
          <w:bottom w:val="nil"/>
          <w:right w:val="nil"/>
          <w:between w:val="nil"/>
        </w:pBdr>
        <w:spacing w:after="0" w:line="240" w:lineRule="auto"/>
      </w:pPr>
      <w:r>
        <w:rPr>
          <w:color w:val="000000"/>
        </w:rPr>
        <w:t xml:space="preserve">How to do stakeholder analysis (Prof. Mark Reed) </w:t>
      </w:r>
      <w:hyperlink r:id="rId9">
        <w:r>
          <w:rPr>
            <w:color w:val="0563C1"/>
            <w:u w:val="single"/>
          </w:rPr>
          <w:t>https://www.fasttrackimpact.com/post/2019/03/11/how-to-do-stakeholder-analysis</w:t>
        </w:r>
      </w:hyperlink>
    </w:p>
    <w:p w14:paraId="503E61A5" w14:textId="77777777" w:rsidR="00320B72" w:rsidRDefault="008E7CFB">
      <w:pPr>
        <w:numPr>
          <w:ilvl w:val="2"/>
          <w:numId w:val="2"/>
        </w:numPr>
        <w:spacing w:after="0" w:line="240" w:lineRule="auto"/>
      </w:pPr>
      <w:r>
        <w:t xml:space="preserve">Nezafati, M., Reizman, I., Marincel Payne, M., Liu, L. (2023). Development of entrepreneurial mindset-driven training materials for undergraduate researchers. Paper presented at 2023 ASEE Annual Conference, </w:t>
      </w:r>
      <w:hyperlink r:id="rId10">
        <w:r>
          <w:rPr>
            <w:color w:val="1155CC"/>
            <w:u w:val="single"/>
          </w:rPr>
          <w:t>https://peer.asee.org/43158</w:t>
        </w:r>
      </w:hyperlink>
      <w:r>
        <w:t xml:space="preserve">. </w:t>
      </w:r>
    </w:p>
    <w:p w14:paraId="503E61A6" w14:textId="77777777" w:rsidR="00320B72" w:rsidRDefault="008E7CFB">
      <w:pPr>
        <w:numPr>
          <w:ilvl w:val="0"/>
          <w:numId w:val="2"/>
        </w:numPr>
        <w:pBdr>
          <w:top w:val="nil"/>
          <w:left w:val="nil"/>
          <w:bottom w:val="nil"/>
          <w:right w:val="nil"/>
          <w:between w:val="nil"/>
        </w:pBdr>
      </w:pPr>
      <w:r>
        <w:rPr>
          <w:color w:val="000000"/>
        </w:rPr>
        <w:t>Upload the student slide deck and student resources document to a location that will be accessible to students (Google drive, LMS, etc.), or print hard copies to share with students.</w:t>
      </w:r>
    </w:p>
    <w:p w14:paraId="503E61A7" w14:textId="77777777" w:rsidR="00320B72" w:rsidRDefault="008E7CFB">
      <w:pPr>
        <w:pStyle w:val="Heading3"/>
      </w:pPr>
      <w:bookmarkStart w:id="0" w:name="_heading=h.xh3od6rpwwov" w:colFirst="0" w:colLast="0"/>
      <w:bookmarkEnd w:id="0"/>
      <w:r>
        <w:lastRenderedPageBreak/>
        <w:t>Workshop structure</w:t>
      </w:r>
    </w:p>
    <w:p w14:paraId="503E61A8" w14:textId="77777777" w:rsidR="00320B72" w:rsidRDefault="00320B72">
      <w:pPr>
        <w:spacing w:after="0" w:line="276" w:lineRule="auto"/>
        <w:rPr>
          <w:b/>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20B72" w14:paraId="503E61AB" w14:textId="77777777">
        <w:tc>
          <w:tcPr>
            <w:tcW w:w="4680" w:type="dxa"/>
            <w:shd w:val="clear" w:color="auto" w:fill="auto"/>
            <w:tcMar>
              <w:top w:w="100" w:type="dxa"/>
              <w:left w:w="100" w:type="dxa"/>
              <w:bottom w:w="100" w:type="dxa"/>
              <w:right w:w="100" w:type="dxa"/>
            </w:tcMar>
          </w:tcPr>
          <w:p w14:paraId="503E61A9" w14:textId="77777777" w:rsidR="00320B72" w:rsidRDefault="008E7CFB">
            <w:pPr>
              <w:widowControl w:val="0"/>
              <w:spacing w:after="0" w:line="240" w:lineRule="auto"/>
              <w:rPr>
                <w:b/>
              </w:rPr>
            </w:pPr>
            <w:r>
              <w:rPr>
                <w:b/>
              </w:rPr>
              <w:t>Activity</w:t>
            </w:r>
          </w:p>
        </w:tc>
        <w:tc>
          <w:tcPr>
            <w:tcW w:w="4680" w:type="dxa"/>
            <w:shd w:val="clear" w:color="auto" w:fill="auto"/>
            <w:tcMar>
              <w:top w:w="100" w:type="dxa"/>
              <w:left w:w="100" w:type="dxa"/>
              <w:bottom w:w="100" w:type="dxa"/>
              <w:right w:w="100" w:type="dxa"/>
            </w:tcMar>
          </w:tcPr>
          <w:p w14:paraId="503E61AA" w14:textId="77777777" w:rsidR="00320B72" w:rsidRDefault="008E7CFB">
            <w:pPr>
              <w:widowControl w:val="0"/>
              <w:spacing w:after="0" w:line="240" w:lineRule="auto"/>
              <w:rPr>
                <w:b/>
              </w:rPr>
            </w:pPr>
            <w:r>
              <w:rPr>
                <w:b/>
              </w:rPr>
              <w:t>Approximate recommended time</w:t>
            </w:r>
          </w:p>
        </w:tc>
      </w:tr>
      <w:tr w:rsidR="00320B72" w14:paraId="503E61AE" w14:textId="77777777">
        <w:tc>
          <w:tcPr>
            <w:tcW w:w="4680" w:type="dxa"/>
            <w:shd w:val="clear" w:color="auto" w:fill="auto"/>
            <w:tcMar>
              <w:top w:w="100" w:type="dxa"/>
              <w:left w:w="100" w:type="dxa"/>
              <w:bottom w:w="100" w:type="dxa"/>
              <w:right w:w="100" w:type="dxa"/>
            </w:tcMar>
          </w:tcPr>
          <w:p w14:paraId="503E61AC" w14:textId="77777777" w:rsidR="00320B72" w:rsidRDefault="008E7CFB">
            <w:pPr>
              <w:widowControl w:val="0"/>
              <w:spacing w:after="0" w:line="240" w:lineRule="auto"/>
            </w:pPr>
            <w:r>
              <w:t>Introduction and workshop video</w:t>
            </w:r>
          </w:p>
        </w:tc>
        <w:tc>
          <w:tcPr>
            <w:tcW w:w="4680" w:type="dxa"/>
            <w:shd w:val="clear" w:color="auto" w:fill="auto"/>
            <w:tcMar>
              <w:top w:w="100" w:type="dxa"/>
              <w:left w:w="100" w:type="dxa"/>
              <w:bottom w:w="100" w:type="dxa"/>
              <w:right w:w="100" w:type="dxa"/>
            </w:tcMar>
          </w:tcPr>
          <w:p w14:paraId="503E61AD" w14:textId="77777777" w:rsidR="00320B72" w:rsidRDefault="008E7CFB">
            <w:pPr>
              <w:widowControl w:val="0"/>
              <w:spacing w:after="0" w:line="240" w:lineRule="auto"/>
            </w:pPr>
            <w:r>
              <w:t>5 min</w:t>
            </w:r>
          </w:p>
        </w:tc>
      </w:tr>
      <w:tr w:rsidR="00320B72" w14:paraId="503E61B1" w14:textId="77777777">
        <w:tc>
          <w:tcPr>
            <w:tcW w:w="4680" w:type="dxa"/>
            <w:shd w:val="clear" w:color="auto" w:fill="auto"/>
            <w:tcMar>
              <w:top w:w="100" w:type="dxa"/>
              <w:left w:w="100" w:type="dxa"/>
              <w:bottom w:w="100" w:type="dxa"/>
              <w:right w:w="100" w:type="dxa"/>
            </w:tcMar>
          </w:tcPr>
          <w:p w14:paraId="503E61AF" w14:textId="77777777" w:rsidR="00320B72" w:rsidRDefault="008E7CFB">
            <w:pPr>
              <w:widowControl w:val="0"/>
              <w:spacing w:after="0" w:line="240" w:lineRule="auto"/>
            </w:pPr>
            <w:r>
              <w:t>Debrief from video</w:t>
            </w:r>
          </w:p>
        </w:tc>
        <w:tc>
          <w:tcPr>
            <w:tcW w:w="4680" w:type="dxa"/>
            <w:shd w:val="clear" w:color="auto" w:fill="auto"/>
            <w:tcMar>
              <w:top w:w="100" w:type="dxa"/>
              <w:left w:w="100" w:type="dxa"/>
              <w:bottom w:w="100" w:type="dxa"/>
              <w:right w:w="100" w:type="dxa"/>
            </w:tcMar>
          </w:tcPr>
          <w:p w14:paraId="503E61B0" w14:textId="77777777" w:rsidR="00320B72" w:rsidRDefault="008E7CFB">
            <w:pPr>
              <w:widowControl w:val="0"/>
              <w:spacing w:after="0" w:line="240" w:lineRule="auto"/>
            </w:pPr>
            <w:r>
              <w:t>5 min (slide 2)</w:t>
            </w:r>
          </w:p>
        </w:tc>
      </w:tr>
      <w:tr w:rsidR="00320B72" w14:paraId="503E61B4" w14:textId="77777777">
        <w:tc>
          <w:tcPr>
            <w:tcW w:w="4680" w:type="dxa"/>
            <w:shd w:val="clear" w:color="auto" w:fill="auto"/>
            <w:tcMar>
              <w:top w:w="100" w:type="dxa"/>
              <w:left w:w="100" w:type="dxa"/>
              <w:bottom w:w="100" w:type="dxa"/>
              <w:right w:w="100" w:type="dxa"/>
            </w:tcMar>
          </w:tcPr>
          <w:p w14:paraId="503E61B2" w14:textId="77777777" w:rsidR="00320B72" w:rsidRDefault="008E7CFB">
            <w:pPr>
              <w:widowControl w:val="0"/>
              <w:spacing w:after="0" w:line="240" w:lineRule="auto"/>
            </w:pPr>
            <w:r>
              <w:t>Activity 1: Narrowing your research question</w:t>
            </w:r>
          </w:p>
        </w:tc>
        <w:tc>
          <w:tcPr>
            <w:tcW w:w="4680" w:type="dxa"/>
            <w:shd w:val="clear" w:color="auto" w:fill="auto"/>
            <w:tcMar>
              <w:top w:w="100" w:type="dxa"/>
              <w:left w:w="100" w:type="dxa"/>
              <w:bottom w:w="100" w:type="dxa"/>
              <w:right w:w="100" w:type="dxa"/>
            </w:tcMar>
          </w:tcPr>
          <w:p w14:paraId="503E61B3" w14:textId="77777777" w:rsidR="00320B72" w:rsidRDefault="008E7CFB">
            <w:pPr>
              <w:widowControl w:val="0"/>
              <w:spacing w:after="0" w:line="240" w:lineRule="auto"/>
            </w:pPr>
            <w:r>
              <w:t>7 min (slide 3)</w:t>
            </w:r>
          </w:p>
        </w:tc>
      </w:tr>
      <w:tr w:rsidR="00320B72" w14:paraId="503E61B7" w14:textId="77777777">
        <w:tc>
          <w:tcPr>
            <w:tcW w:w="4680" w:type="dxa"/>
            <w:shd w:val="clear" w:color="auto" w:fill="auto"/>
            <w:tcMar>
              <w:top w:w="100" w:type="dxa"/>
              <w:left w:w="100" w:type="dxa"/>
              <w:bottom w:w="100" w:type="dxa"/>
              <w:right w:w="100" w:type="dxa"/>
            </w:tcMar>
          </w:tcPr>
          <w:p w14:paraId="503E61B5" w14:textId="77777777" w:rsidR="00320B72" w:rsidRDefault="008E7CFB">
            <w:pPr>
              <w:widowControl w:val="0"/>
              <w:spacing w:after="0" w:line="240" w:lineRule="auto"/>
            </w:pPr>
            <w:r>
              <w:t>Activity 2: Entrepreneurial mindset and research concept map</w:t>
            </w:r>
          </w:p>
        </w:tc>
        <w:tc>
          <w:tcPr>
            <w:tcW w:w="4680" w:type="dxa"/>
            <w:shd w:val="clear" w:color="auto" w:fill="auto"/>
            <w:tcMar>
              <w:top w:w="100" w:type="dxa"/>
              <w:left w:w="100" w:type="dxa"/>
              <w:bottom w:w="100" w:type="dxa"/>
              <w:right w:w="100" w:type="dxa"/>
            </w:tcMar>
          </w:tcPr>
          <w:p w14:paraId="503E61B6" w14:textId="77777777" w:rsidR="00320B72" w:rsidRDefault="008E7CFB">
            <w:pPr>
              <w:widowControl w:val="0"/>
              <w:spacing w:after="0" w:line="240" w:lineRule="auto"/>
            </w:pPr>
            <w:r>
              <w:t>13 min (slides 4-5)</w:t>
            </w:r>
          </w:p>
        </w:tc>
      </w:tr>
      <w:tr w:rsidR="00320B72" w14:paraId="503E61BA" w14:textId="77777777">
        <w:tc>
          <w:tcPr>
            <w:tcW w:w="4680" w:type="dxa"/>
            <w:shd w:val="clear" w:color="auto" w:fill="auto"/>
            <w:tcMar>
              <w:top w:w="100" w:type="dxa"/>
              <w:left w:w="100" w:type="dxa"/>
              <w:bottom w:w="100" w:type="dxa"/>
              <w:right w:w="100" w:type="dxa"/>
            </w:tcMar>
          </w:tcPr>
          <w:p w14:paraId="503E61B8" w14:textId="77777777" w:rsidR="00320B72" w:rsidRDefault="008E7CFB">
            <w:pPr>
              <w:widowControl w:val="0"/>
              <w:spacing w:after="0" w:line="240" w:lineRule="auto"/>
            </w:pPr>
            <w:r>
              <w:t>Activity 3: Stakeholder analysis and engagement</w:t>
            </w:r>
          </w:p>
        </w:tc>
        <w:tc>
          <w:tcPr>
            <w:tcW w:w="4680" w:type="dxa"/>
            <w:shd w:val="clear" w:color="auto" w:fill="auto"/>
            <w:tcMar>
              <w:top w:w="100" w:type="dxa"/>
              <w:left w:w="100" w:type="dxa"/>
              <w:bottom w:w="100" w:type="dxa"/>
              <w:right w:w="100" w:type="dxa"/>
            </w:tcMar>
          </w:tcPr>
          <w:p w14:paraId="503E61B9" w14:textId="77777777" w:rsidR="00320B72" w:rsidRDefault="008E7CFB">
            <w:pPr>
              <w:widowControl w:val="0"/>
              <w:spacing w:after="0" w:line="240" w:lineRule="auto"/>
            </w:pPr>
            <w:r>
              <w:t>15 min (slides 6-9)</w:t>
            </w:r>
          </w:p>
        </w:tc>
      </w:tr>
      <w:tr w:rsidR="00320B72" w14:paraId="503E61BD" w14:textId="77777777">
        <w:tc>
          <w:tcPr>
            <w:tcW w:w="4680" w:type="dxa"/>
            <w:shd w:val="clear" w:color="auto" w:fill="auto"/>
            <w:tcMar>
              <w:top w:w="100" w:type="dxa"/>
              <w:left w:w="100" w:type="dxa"/>
              <w:bottom w:w="100" w:type="dxa"/>
              <w:right w:w="100" w:type="dxa"/>
            </w:tcMar>
          </w:tcPr>
          <w:p w14:paraId="503E61BB" w14:textId="77777777" w:rsidR="00320B72" w:rsidRDefault="008E7CFB">
            <w:pPr>
              <w:widowControl w:val="0"/>
              <w:spacing w:after="0" w:line="240" w:lineRule="auto"/>
            </w:pPr>
            <w:r>
              <w:t>Review and group discussion</w:t>
            </w:r>
          </w:p>
        </w:tc>
        <w:tc>
          <w:tcPr>
            <w:tcW w:w="4680" w:type="dxa"/>
            <w:shd w:val="clear" w:color="auto" w:fill="auto"/>
            <w:tcMar>
              <w:top w:w="100" w:type="dxa"/>
              <w:left w:w="100" w:type="dxa"/>
              <w:bottom w:w="100" w:type="dxa"/>
              <w:right w:w="100" w:type="dxa"/>
            </w:tcMar>
          </w:tcPr>
          <w:p w14:paraId="503E61BC" w14:textId="77777777" w:rsidR="00320B72" w:rsidRDefault="008E7CFB">
            <w:pPr>
              <w:widowControl w:val="0"/>
              <w:spacing w:after="0" w:line="240" w:lineRule="auto"/>
            </w:pPr>
            <w:r>
              <w:t>15 min (slide 10)</w:t>
            </w:r>
          </w:p>
        </w:tc>
      </w:tr>
      <w:tr w:rsidR="00320B72" w14:paraId="503E61C0" w14:textId="77777777">
        <w:tc>
          <w:tcPr>
            <w:tcW w:w="4680" w:type="dxa"/>
            <w:shd w:val="clear" w:color="auto" w:fill="auto"/>
            <w:tcMar>
              <w:top w:w="100" w:type="dxa"/>
              <w:left w:w="100" w:type="dxa"/>
              <w:bottom w:w="100" w:type="dxa"/>
              <w:right w:w="100" w:type="dxa"/>
            </w:tcMar>
          </w:tcPr>
          <w:p w14:paraId="503E61BE" w14:textId="77777777" w:rsidR="00320B72" w:rsidRDefault="008E7CFB">
            <w:pPr>
              <w:widowControl w:val="0"/>
              <w:spacing w:after="0" w:line="240" w:lineRule="auto"/>
            </w:pPr>
            <w:r>
              <w:t>Total</w:t>
            </w:r>
          </w:p>
        </w:tc>
        <w:tc>
          <w:tcPr>
            <w:tcW w:w="4680" w:type="dxa"/>
            <w:shd w:val="clear" w:color="auto" w:fill="auto"/>
            <w:tcMar>
              <w:top w:w="100" w:type="dxa"/>
              <w:left w:w="100" w:type="dxa"/>
              <w:bottom w:w="100" w:type="dxa"/>
              <w:right w:w="100" w:type="dxa"/>
            </w:tcMar>
          </w:tcPr>
          <w:p w14:paraId="503E61BF" w14:textId="77777777" w:rsidR="00320B72" w:rsidRDefault="008E7CFB">
            <w:pPr>
              <w:widowControl w:val="0"/>
              <w:spacing w:after="0" w:line="240" w:lineRule="auto"/>
            </w:pPr>
            <w:r>
              <w:t>60 min</w:t>
            </w:r>
          </w:p>
        </w:tc>
      </w:tr>
    </w:tbl>
    <w:p w14:paraId="503E61C1" w14:textId="77777777" w:rsidR="00320B72" w:rsidRDefault="00320B72">
      <w:pPr>
        <w:spacing w:after="0" w:line="276" w:lineRule="auto"/>
      </w:pPr>
    </w:p>
    <w:p w14:paraId="503E61C2" w14:textId="77777777" w:rsidR="00320B72" w:rsidRDefault="008E7CFB">
      <w:pPr>
        <w:pStyle w:val="Heading3"/>
      </w:pPr>
      <w:r>
        <w:t>Day of the workshop [approximately 1 hour]</w:t>
      </w:r>
    </w:p>
    <w:p w14:paraId="503E61C3" w14:textId="77777777" w:rsidR="00320B72" w:rsidRDefault="008E7CFB">
      <w:pPr>
        <w:pBdr>
          <w:top w:val="nil"/>
          <w:left w:val="nil"/>
          <w:bottom w:val="nil"/>
          <w:right w:val="nil"/>
          <w:between w:val="nil"/>
        </w:pBdr>
        <w:spacing w:after="0"/>
        <w:rPr>
          <w:color w:val="000000"/>
        </w:rPr>
      </w:pPr>
      <w:r>
        <w:rPr>
          <w:color w:val="000000"/>
        </w:rPr>
        <w:t>As students enter the classroom, ask them to download the student slide deck and additional resources document (or hand out these documents if they are in hard copy).</w:t>
      </w:r>
    </w:p>
    <w:p w14:paraId="503E61C4" w14:textId="77777777" w:rsidR="00320B72" w:rsidRDefault="00320B72">
      <w:pPr>
        <w:pBdr>
          <w:top w:val="nil"/>
          <w:left w:val="nil"/>
          <w:bottom w:val="nil"/>
          <w:right w:val="nil"/>
          <w:between w:val="nil"/>
        </w:pBdr>
        <w:spacing w:after="0"/>
      </w:pPr>
    </w:p>
    <w:p w14:paraId="503E61C5" w14:textId="77777777" w:rsidR="00320B72" w:rsidRDefault="008E7CFB">
      <w:pPr>
        <w:spacing w:after="0" w:line="276" w:lineRule="auto"/>
        <w:rPr>
          <w:b/>
        </w:rPr>
      </w:pPr>
      <w:r>
        <w:t xml:space="preserve">The workshop is guided by the facilitator using the Instructor Slide Deck. </w:t>
      </w:r>
      <w:r>
        <w:rPr>
          <w:b/>
        </w:rPr>
        <w:t>Suggested questions and organizational notes for the facilitator are in the notes section of each slide.</w:t>
      </w:r>
    </w:p>
    <w:p w14:paraId="503E61C6" w14:textId="77777777" w:rsidR="00320B72" w:rsidRDefault="00320B72">
      <w:pPr>
        <w:spacing w:after="0" w:line="276" w:lineRule="auto"/>
        <w:rPr>
          <w:b/>
        </w:rPr>
      </w:pPr>
    </w:p>
    <w:p w14:paraId="503E61C7" w14:textId="77777777" w:rsidR="00320B72" w:rsidRDefault="008E7CFB">
      <w:pPr>
        <w:numPr>
          <w:ilvl w:val="0"/>
          <w:numId w:val="3"/>
        </w:numPr>
        <w:pBdr>
          <w:top w:val="nil"/>
          <w:left w:val="nil"/>
          <w:bottom w:val="nil"/>
          <w:right w:val="nil"/>
          <w:between w:val="nil"/>
        </w:pBdr>
        <w:spacing w:after="0"/>
      </w:pPr>
      <w:r>
        <w:rPr>
          <w:color w:val="000000"/>
        </w:rPr>
        <w:t>Start the workshop with the introductory video [5 minutes]</w:t>
      </w:r>
    </w:p>
    <w:p w14:paraId="503E61C8" w14:textId="77777777" w:rsidR="00320B72" w:rsidRDefault="008E7CFB">
      <w:pPr>
        <w:numPr>
          <w:ilvl w:val="1"/>
          <w:numId w:val="3"/>
        </w:numPr>
        <w:pBdr>
          <w:top w:val="nil"/>
          <w:left w:val="nil"/>
          <w:bottom w:val="nil"/>
          <w:right w:val="nil"/>
          <w:between w:val="nil"/>
        </w:pBdr>
        <w:spacing w:after="0"/>
      </w:pPr>
      <w:r>
        <w:rPr>
          <w:color w:val="000000"/>
        </w:rPr>
        <w:t>After the video, the remainder of the workshop is guided by the facilitator using the Instructor Slide Deck.</w:t>
      </w:r>
    </w:p>
    <w:p w14:paraId="503E61C9" w14:textId="77777777" w:rsidR="00320B72" w:rsidRDefault="008E7CFB">
      <w:pPr>
        <w:numPr>
          <w:ilvl w:val="0"/>
          <w:numId w:val="3"/>
        </w:numPr>
        <w:pBdr>
          <w:top w:val="nil"/>
          <w:left w:val="nil"/>
          <w:bottom w:val="nil"/>
          <w:right w:val="nil"/>
          <w:between w:val="nil"/>
        </w:pBdr>
        <w:spacing w:after="0"/>
      </w:pPr>
      <w:r>
        <w:rPr>
          <w:color w:val="000000"/>
        </w:rPr>
        <w:t>Slide 2: Why are you doing research? [5 minutes]</w:t>
      </w:r>
    </w:p>
    <w:p w14:paraId="503E61CA" w14:textId="77777777" w:rsidR="00320B72" w:rsidRDefault="008E7CFB">
      <w:pPr>
        <w:numPr>
          <w:ilvl w:val="1"/>
          <w:numId w:val="3"/>
        </w:numPr>
        <w:pBdr>
          <w:top w:val="nil"/>
          <w:left w:val="nil"/>
          <w:bottom w:val="nil"/>
          <w:right w:val="nil"/>
          <w:between w:val="nil"/>
        </w:pBdr>
        <w:spacing w:after="0"/>
      </w:pPr>
      <w:r>
        <w:rPr>
          <w:color w:val="000000"/>
        </w:rPr>
        <w:t>Suggested questions and organizational notes for the facilitator are in the notes section of each slide.</w:t>
      </w:r>
    </w:p>
    <w:p w14:paraId="503E61CB" w14:textId="77777777" w:rsidR="00320B72" w:rsidRDefault="008E7CFB">
      <w:pPr>
        <w:numPr>
          <w:ilvl w:val="1"/>
          <w:numId w:val="3"/>
        </w:numPr>
        <w:pBdr>
          <w:top w:val="nil"/>
          <w:left w:val="nil"/>
          <w:bottom w:val="nil"/>
          <w:right w:val="nil"/>
          <w:between w:val="nil"/>
        </w:pBdr>
        <w:spacing w:after="0"/>
      </w:pPr>
      <w:r>
        <w:rPr>
          <w:color w:val="000000"/>
        </w:rPr>
        <w:t xml:space="preserve">For larger groups, the facilitator may want to use a tool such as a </w:t>
      </w:r>
      <w:hyperlink r:id="rId11">
        <w:r>
          <w:rPr>
            <w:color w:val="0563C1"/>
            <w:u w:val="single"/>
          </w:rPr>
          <w:t>Jamboard</w:t>
        </w:r>
      </w:hyperlink>
      <w:r>
        <w:rPr>
          <w:color w:val="000000"/>
        </w:rPr>
        <w:t xml:space="preserve"> or </w:t>
      </w:r>
      <w:hyperlink r:id="rId12">
        <w:r>
          <w:rPr>
            <w:color w:val="0563C1"/>
            <w:u w:val="single"/>
          </w:rPr>
          <w:t>Poll Everywhere</w:t>
        </w:r>
      </w:hyperlink>
      <w:r>
        <w:rPr>
          <w:color w:val="000000"/>
        </w:rPr>
        <w:t xml:space="preserve"> to aggregate student answers on their motivation for research.</w:t>
      </w:r>
    </w:p>
    <w:p w14:paraId="503E61CC" w14:textId="77777777" w:rsidR="00320B72" w:rsidRDefault="008E7CFB">
      <w:pPr>
        <w:numPr>
          <w:ilvl w:val="0"/>
          <w:numId w:val="3"/>
        </w:numPr>
        <w:pBdr>
          <w:top w:val="nil"/>
          <w:left w:val="nil"/>
          <w:bottom w:val="nil"/>
          <w:right w:val="nil"/>
          <w:between w:val="nil"/>
        </w:pBdr>
        <w:spacing w:after="0"/>
      </w:pPr>
      <w:r>
        <w:rPr>
          <w:color w:val="000000"/>
        </w:rPr>
        <w:t>Slide 3: What are you researching? [7 minutes]</w:t>
      </w:r>
    </w:p>
    <w:p w14:paraId="503E61CD" w14:textId="77777777" w:rsidR="00320B72" w:rsidRDefault="008E7CFB">
      <w:pPr>
        <w:numPr>
          <w:ilvl w:val="1"/>
          <w:numId w:val="3"/>
        </w:numPr>
        <w:pBdr>
          <w:top w:val="nil"/>
          <w:left w:val="nil"/>
          <w:bottom w:val="nil"/>
          <w:right w:val="nil"/>
          <w:between w:val="nil"/>
        </w:pBdr>
        <w:spacing w:after="0"/>
      </w:pPr>
      <w:r>
        <w:rPr>
          <w:color w:val="000000"/>
        </w:rPr>
        <w:t>Students will need to start using the Student Slides on their laptop to type ideas, or they can write on paper copies.</w:t>
      </w:r>
    </w:p>
    <w:p w14:paraId="503E61CE" w14:textId="77777777" w:rsidR="00320B72" w:rsidRDefault="008E7CFB">
      <w:pPr>
        <w:numPr>
          <w:ilvl w:val="0"/>
          <w:numId w:val="3"/>
        </w:numPr>
        <w:pBdr>
          <w:top w:val="nil"/>
          <w:left w:val="nil"/>
          <w:bottom w:val="nil"/>
          <w:right w:val="nil"/>
          <w:between w:val="nil"/>
        </w:pBdr>
        <w:spacing w:after="0"/>
      </w:pPr>
      <w:r>
        <w:rPr>
          <w:color w:val="000000"/>
        </w:rPr>
        <w:t>Slide 4: Introducing KEEN Framework for Entrepreneurial Mindset as applied to research [3 minutes]</w:t>
      </w:r>
    </w:p>
    <w:p w14:paraId="503E61CF" w14:textId="77777777" w:rsidR="00320B72" w:rsidRDefault="008E7CFB">
      <w:pPr>
        <w:numPr>
          <w:ilvl w:val="1"/>
          <w:numId w:val="3"/>
        </w:numPr>
        <w:pBdr>
          <w:top w:val="nil"/>
          <w:left w:val="nil"/>
          <w:bottom w:val="nil"/>
          <w:right w:val="nil"/>
          <w:between w:val="nil"/>
        </w:pBdr>
        <w:spacing w:after="0"/>
      </w:pPr>
      <w:r>
        <w:rPr>
          <w:color w:val="000000"/>
        </w:rPr>
        <w:t>This is a very brief introduction and can be expanded as time allows.</w:t>
      </w:r>
    </w:p>
    <w:p w14:paraId="503E61D0" w14:textId="77777777" w:rsidR="00320B72" w:rsidRDefault="008E7CFB">
      <w:pPr>
        <w:numPr>
          <w:ilvl w:val="0"/>
          <w:numId w:val="3"/>
        </w:numPr>
        <w:pBdr>
          <w:top w:val="nil"/>
          <w:left w:val="nil"/>
          <w:bottom w:val="nil"/>
          <w:right w:val="nil"/>
          <w:between w:val="nil"/>
        </w:pBdr>
        <w:spacing w:after="0"/>
      </w:pPr>
      <w:r>
        <w:rPr>
          <w:color w:val="000000"/>
        </w:rPr>
        <w:t>Slide 5: Example concept map [10 minutes]</w:t>
      </w:r>
    </w:p>
    <w:p w14:paraId="503E61D1" w14:textId="77777777" w:rsidR="00320B72" w:rsidRDefault="008E7CFB">
      <w:pPr>
        <w:numPr>
          <w:ilvl w:val="1"/>
          <w:numId w:val="3"/>
        </w:numPr>
        <w:pBdr>
          <w:top w:val="nil"/>
          <w:left w:val="nil"/>
          <w:bottom w:val="nil"/>
          <w:right w:val="nil"/>
          <w:between w:val="nil"/>
        </w:pBdr>
        <w:spacing w:after="0"/>
      </w:pPr>
      <w:r>
        <w:rPr>
          <w:color w:val="000000"/>
        </w:rPr>
        <w:t>For younger researchers, the facilitator may want to spend more time discussing the example concept map and the types of questions to brainstorm.</w:t>
      </w:r>
    </w:p>
    <w:p w14:paraId="503E61D2" w14:textId="77777777" w:rsidR="00320B72" w:rsidRDefault="008E7CFB">
      <w:pPr>
        <w:numPr>
          <w:ilvl w:val="1"/>
          <w:numId w:val="3"/>
        </w:numPr>
        <w:pBdr>
          <w:top w:val="nil"/>
          <w:left w:val="nil"/>
          <w:bottom w:val="nil"/>
          <w:right w:val="nil"/>
          <w:between w:val="nil"/>
        </w:pBdr>
        <w:spacing w:after="0"/>
      </w:pPr>
      <w:r>
        <w:rPr>
          <w:color w:val="000000"/>
        </w:rPr>
        <w:t>Students can use the second slide in the student slide deck as a starting point for the concept map or draw their own.</w:t>
      </w:r>
    </w:p>
    <w:p w14:paraId="503E61D3" w14:textId="77777777" w:rsidR="00320B72" w:rsidRDefault="008E7CFB">
      <w:pPr>
        <w:numPr>
          <w:ilvl w:val="0"/>
          <w:numId w:val="3"/>
        </w:numPr>
        <w:pBdr>
          <w:top w:val="nil"/>
          <w:left w:val="nil"/>
          <w:bottom w:val="nil"/>
          <w:right w:val="nil"/>
          <w:between w:val="nil"/>
        </w:pBdr>
        <w:spacing w:after="0"/>
      </w:pPr>
      <w:r>
        <w:rPr>
          <w:color w:val="000000"/>
        </w:rPr>
        <w:lastRenderedPageBreak/>
        <w:t>Slides 6 – 7: Stakeholder analysis [10 minutes]</w:t>
      </w:r>
    </w:p>
    <w:p w14:paraId="503E61D4" w14:textId="77777777" w:rsidR="00320B72" w:rsidRDefault="008E7CFB">
      <w:pPr>
        <w:numPr>
          <w:ilvl w:val="1"/>
          <w:numId w:val="3"/>
        </w:numPr>
        <w:pBdr>
          <w:top w:val="nil"/>
          <w:left w:val="nil"/>
          <w:bottom w:val="nil"/>
          <w:right w:val="nil"/>
          <w:between w:val="nil"/>
        </w:pBdr>
        <w:spacing w:after="0"/>
      </w:pPr>
      <w:r>
        <w:rPr>
          <w:color w:val="000000"/>
        </w:rPr>
        <w:t>Students will use the last slide in their slide deck to complete the stakeholder analysis. After this workshop, they are able to save these three slides and continue building on them for subsequent workshops. At the end of all workshops, they have a slide deck portfolio, illustrating some ways to integrate entrepreneurial mindset into their research experience.</w:t>
      </w:r>
    </w:p>
    <w:p w14:paraId="503E61D5" w14:textId="77777777" w:rsidR="00320B72" w:rsidRDefault="008E7CFB">
      <w:pPr>
        <w:numPr>
          <w:ilvl w:val="0"/>
          <w:numId w:val="3"/>
        </w:numPr>
        <w:pBdr>
          <w:top w:val="nil"/>
          <w:left w:val="nil"/>
          <w:bottom w:val="nil"/>
          <w:right w:val="nil"/>
          <w:between w:val="nil"/>
        </w:pBdr>
        <w:spacing w:after="0"/>
      </w:pPr>
      <w:r>
        <w:rPr>
          <w:color w:val="000000"/>
        </w:rPr>
        <w:t>Slides 8 – 9: Stakeholder engagement [5 minutes]</w:t>
      </w:r>
    </w:p>
    <w:p w14:paraId="503E61D6" w14:textId="77777777" w:rsidR="00320B72" w:rsidRDefault="008E7CFB">
      <w:pPr>
        <w:numPr>
          <w:ilvl w:val="1"/>
          <w:numId w:val="3"/>
        </w:numPr>
        <w:pBdr>
          <w:top w:val="nil"/>
          <w:left w:val="nil"/>
          <w:bottom w:val="nil"/>
          <w:right w:val="nil"/>
          <w:between w:val="nil"/>
        </w:pBdr>
        <w:spacing w:after="0"/>
      </w:pPr>
      <w:r>
        <w:rPr>
          <w:color w:val="000000"/>
        </w:rPr>
        <w:t>Some other models of stakeholder engagement are very briefly introduced in these slides. For longer workshops, the facilitator can expand on these resources or give additional time for discussion.</w:t>
      </w:r>
    </w:p>
    <w:p w14:paraId="503E61D7" w14:textId="77777777" w:rsidR="00320B72" w:rsidRDefault="008E7CFB">
      <w:pPr>
        <w:numPr>
          <w:ilvl w:val="0"/>
          <w:numId w:val="3"/>
        </w:numPr>
        <w:pBdr>
          <w:top w:val="nil"/>
          <w:left w:val="nil"/>
          <w:bottom w:val="nil"/>
          <w:right w:val="nil"/>
          <w:between w:val="nil"/>
        </w:pBdr>
        <w:spacing w:after="0"/>
      </w:pPr>
      <w:r>
        <w:rPr>
          <w:color w:val="000000"/>
        </w:rPr>
        <w:t>Slide 10: Review and discussion [15 minutes]</w:t>
      </w:r>
    </w:p>
    <w:p w14:paraId="503E61D8" w14:textId="77777777" w:rsidR="00320B72" w:rsidRDefault="008E7CFB">
      <w:pPr>
        <w:numPr>
          <w:ilvl w:val="1"/>
          <w:numId w:val="3"/>
        </w:numPr>
        <w:pBdr>
          <w:top w:val="nil"/>
          <w:left w:val="nil"/>
          <w:bottom w:val="nil"/>
          <w:right w:val="nil"/>
          <w:between w:val="nil"/>
        </w:pBdr>
        <w:spacing w:after="0"/>
      </w:pPr>
      <w:r>
        <w:rPr>
          <w:color w:val="000000"/>
        </w:rPr>
        <w:t>Students have time to discuss their brainstorming in the workshop and trade ideas in small groups. The group discussion also helps students build a network with other young researchers. A suggested structure for discussion is included in the slide notes.</w:t>
      </w:r>
    </w:p>
    <w:p w14:paraId="503E61D9" w14:textId="77777777" w:rsidR="00320B72" w:rsidRDefault="008E7CFB">
      <w:pPr>
        <w:numPr>
          <w:ilvl w:val="1"/>
          <w:numId w:val="3"/>
        </w:numPr>
        <w:pBdr>
          <w:top w:val="nil"/>
          <w:left w:val="nil"/>
          <w:bottom w:val="nil"/>
          <w:right w:val="nil"/>
          <w:between w:val="nil"/>
        </w:pBdr>
      </w:pPr>
      <w:r>
        <w:rPr>
          <w:color w:val="000000"/>
        </w:rPr>
        <w:t>The workshop ends with a report out from 1-2 small groups to the full group and discussion as time allows.</w:t>
      </w:r>
    </w:p>
    <w:p w14:paraId="503E61DA" w14:textId="77777777" w:rsidR="00320B72" w:rsidRDefault="008E7CFB">
      <w:pPr>
        <w:pStyle w:val="Heading3"/>
      </w:pPr>
      <w:r>
        <w:t>Alternative formats</w:t>
      </w:r>
    </w:p>
    <w:p w14:paraId="503E61DB" w14:textId="77777777" w:rsidR="00320B72" w:rsidRDefault="008E7CFB">
      <w:r>
        <w:t>The workshop materials are designed to be easily adapted for virtual format, for reaching remote research students or for delivering the contents to students across multiple universities at once. For that case, the facilitator preparation will include sending meeting links for the remote workshop and setting up breakout rooms for the final discussion sessions.</w:t>
      </w:r>
    </w:p>
    <w:sectPr w:rsidR="00320B72" w:rsidSect="008E7CFB">
      <w:footerReference w:type="default" r:id="rId13"/>
      <w:pgSz w:w="12240" w:h="15840"/>
      <w:pgMar w:top="1440" w:right="1440" w:bottom="1440" w:left="1440"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9F57A" w14:textId="77777777" w:rsidR="00195580" w:rsidRDefault="00195580" w:rsidP="008E7CFB">
      <w:pPr>
        <w:spacing w:after="0" w:line="240" w:lineRule="auto"/>
      </w:pPr>
      <w:r>
        <w:separator/>
      </w:r>
    </w:p>
  </w:endnote>
  <w:endnote w:type="continuationSeparator" w:id="0">
    <w:p w14:paraId="33098F65" w14:textId="77777777" w:rsidR="00195580" w:rsidRDefault="00195580" w:rsidP="008E7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A203" w14:textId="57AA8615" w:rsidR="008E7CFB" w:rsidRPr="008E7CFB" w:rsidRDefault="008E7CFB" w:rsidP="008E7CFB">
    <w:pPr>
      <w:rPr>
        <w:sz w:val="20"/>
        <w:szCs w:val="20"/>
      </w:rPr>
    </w:pPr>
    <w:r>
      <w:rPr>
        <w:rStyle w:val="ui-provider"/>
        <w:sz w:val="20"/>
        <w:szCs w:val="20"/>
      </w:rPr>
      <w:t xml:space="preserve">Undergraduate Student Research Training Workshops. Available from Engineering Unleashed at </w:t>
    </w:r>
    <w:hyperlink r:id="rId1" w:tgtFrame="_blank" w:tooltip="https://www.engineeringunleashed.com/card/3619" w:history="1">
      <w:r>
        <w:rPr>
          <w:rStyle w:val="Hyperlink"/>
          <w:sz w:val="20"/>
          <w:szCs w:val="20"/>
        </w:rPr>
        <w:t>https://www.engineeringunleashed.com/card/3619</w:t>
      </w:r>
    </w:hyperlink>
    <w:r>
      <w:rPr>
        <w:rStyle w:val="ui-provider"/>
        <w:sz w:val="20"/>
        <w:szCs w:val="20"/>
      </w:rPr>
      <w:t>. Updated 14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AC9B5" w14:textId="77777777" w:rsidR="00195580" w:rsidRDefault="00195580" w:rsidP="008E7CFB">
      <w:pPr>
        <w:spacing w:after="0" w:line="240" w:lineRule="auto"/>
      </w:pPr>
      <w:r>
        <w:separator/>
      </w:r>
    </w:p>
  </w:footnote>
  <w:footnote w:type="continuationSeparator" w:id="0">
    <w:p w14:paraId="5146CB4A" w14:textId="77777777" w:rsidR="00195580" w:rsidRDefault="00195580" w:rsidP="008E7C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06E"/>
    <w:multiLevelType w:val="multilevel"/>
    <w:tmpl w:val="574214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BB5037"/>
    <w:multiLevelType w:val="multilevel"/>
    <w:tmpl w:val="3878A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B195FC3"/>
    <w:multiLevelType w:val="multilevel"/>
    <w:tmpl w:val="0726BE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46822161">
    <w:abstractNumId w:val="0"/>
  </w:num>
  <w:num w:numId="2" w16cid:durableId="210457970">
    <w:abstractNumId w:val="1"/>
  </w:num>
  <w:num w:numId="3" w16cid:durableId="8198561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B72"/>
    <w:rsid w:val="00195580"/>
    <w:rsid w:val="002902F7"/>
    <w:rsid w:val="00320B72"/>
    <w:rsid w:val="008E7CFB"/>
    <w:rsid w:val="00B70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E6190"/>
  <w15:docId w15:val="{E7EF173A-103A-415A-8B60-A1C0C04E5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41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241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241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2412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2412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24120"/>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624120"/>
    <w:pPr>
      <w:ind w:left="720"/>
      <w:contextualSpacing/>
    </w:pPr>
  </w:style>
  <w:style w:type="character" w:styleId="Hyperlink">
    <w:name w:val="Hyperlink"/>
    <w:basedOn w:val="DefaultParagraphFont"/>
    <w:uiPriority w:val="99"/>
    <w:unhideWhenUsed/>
    <w:rsid w:val="00E41BB8"/>
    <w:rPr>
      <w:color w:val="0563C1" w:themeColor="hyperlink"/>
      <w:u w:val="single"/>
    </w:rPr>
  </w:style>
  <w:style w:type="character" w:styleId="UnresolvedMention">
    <w:name w:val="Unresolved Mention"/>
    <w:basedOn w:val="DefaultParagraphFont"/>
    <w:uiPriority w:val="99"/>
    <w:semiHidden/>
    <w:unhideWhenUsed/>
    <w:rsid w:val="00E41BB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E7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CFB"/>
  </w:style>
  <w:style w:type="paragraph" w:styleId="Footer">
    <w:name w:val="footer"/>
    <w:basedOn w:val="Normal"/>
    <w:link w:val="FooterChar"/>
    <w:uiPriority w:val="99"/>
    <w:unhideWhenUsed/>
    <w:rsid w:val="008E7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CFB"/>
  </w:style>
  <w:style w:type="character" w:customStyle="1" w:styleId="ui-provider">
    <w:name w:val="ui-provider"/>
    <w:basedOn w:val="DefaultParagraphFont"/>
    <w:rsid w:val="008E7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975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u.nl/en/research/transdisciplinary-field-guide/get-started/what-is-transdisciplinary-resear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leverywher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amboard.google.com/u/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eer.asee.org/43158" TargetMode="External"/><Relationship Id="rId4" Type="http://schemas.openxmlformats.org/officeDocument/2006/relationships/settings" Target="settings.xml"/><Relationship Id="rId9" Type="http://schemas.openxmlformats.org/officeDocument/2006/relationships/hyperlink" Target="https://www.fasttrackimpact.com/post/2019/03/11/how-to-do-stakeholder-analysi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engineeringunleashed.com/card/3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F3hiUaqvB130UWE2Samqji5lA==">CgMxLjAyDmgueGgzb2Q2cnB3d292OABqLwoUc3VnZ2VzdC4zaGJyNXo5bjd3aTYSF2JyYW5keS5ibGFrZUBnYXRlY2guZWR1ai8KFHN1Z2dlc3QudXZ0eGR2ejBiaG5iEhdicmFuZHkuYmxha2VAZ2F0ZWNoLmVkdWovChRzdWdnZXN0LmluaGQ1Z2hkMzRqdBIXYnJhbmR5LmJsYWtlQGdhdGVjaC5lZHVyITF4azlMRHlLUE5keGw1Z2g4YnVfWVRvNzk4SHpUM2hDMw==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5006</Characters>
  <Application>Microsoft Office Word</Application>
  <DocSecurity>0</DocSecurity>
  <Lines>109</Lines>
  <Paragraphs>62</Paragraphs>
  <ScaleCrop>false</ScaleCrop>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Reizman, Irene</dc:creator>
  <cp:lastModifiedBy>Reizman, Irene</cp:lastModifiedBy>
  <cp:revision>4</cp:revision>
  <dcterms:created xsi:type="dcterms:W3CDTF">2022-06-02T12:19:00Z</dcterms:created>
  <dcterms:modified xsi:type="dcterms:W3CDTF">2023-11-14T18:52:00Z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af31237b1175205bfa7c765e331f1ed60de01e20e8cf7c9766b7edd1b8953804</vt:lpwstr>
  </property>
</Properties>
</file>